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3" w:rsidRDefault="002D72B3" w:rsidP="00155F6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961" w:rsidRPr="00C95DBA" w:rsidRDefault="006E4754" w:rsidP="00155F61">
      <w:pPr>
        <w:suppressAutoHyphens/>
        <w:spacing w:after="0" w:line="16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«КЭнК»</w:t>
      </w:r>
    </w:p>
    <w:p w:rsidR="003B2CA5" w:rsidRPr="00764BEF" w:rsidRDefault="003B2CA5" w:rsidP="00155F61">
      <w:pPr>
        <w:suppressAutoHyphens/>
        <w:spacing w:after="0" w:line="16" w:lineRule="atLeast"/>
        <w:jc w:val="center"/>
        <w:rPr>
          <w:rFonts w:ascii="Times New Roman" w:hAnsi="Times New Roman"/>
        </w:rPr>
      </w:pPr>
    </w:p>
    <w:p w:rsidR="002D295B" w:rsidRPr="002D295B" w:rsidRDefault="006C5372" w:rsidP="00155F61">
      <w:pPr>
        <w:pStyle w:val="1"/>
        <w:keepNext w:val="0"/>
        <w:suppressAutoHyphens/>
        <w:spacing w:before="0" w:after="0" w:line="1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0A085E">
        <w:rPr>
          <w:rFonts w:ascii="Times New Roman" w:hAnsi="Times New Roman"/>
          <w:sz w:val="28"/>
          <w:szCs w:val="28"/>
          <w:lang w:eastAsia="ru-RU"/>
        </w:rPr>
        <w:t xml:space="preserve">Технологическое присоединение энергопринимающих устройств </w:t>
      </w:r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>с максимальной мощностью до 15</w:t>
      </w:r>
      <w:r w:rsidR="00D317A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кВт</w:t>
      </w:r>
      <w:r w:rsidR="002D29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17AE" w:rsidRDefault="006E4754" w:rsidP="003C52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Заявитель: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E1237D">
        <w:rPr>
          <w:rFonts w:ascii="Times New Roman" w:eastAsiaTheme="minorHAnsi" w:hAnsi="Times New Roman"/>
          <w:bCs/>
          <w:sz w:val="24"/>
          <w:szCs w:val="24"/>
        </w:rPr>
        <w:t>юридическое лицо или индивидуальный</w:t>
      </w:r>
      <w:r w:rsidR="00E1237D" w:rsidRPr="005F70C0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E1237D">
        <w:rPr>
          <w:rFonts w:ascii="Times New Roman" w:eastAsiaTheme="minorHAnsi" w:hAnsi="Times New Roman"/>
          <w:bCs/>
          <w:sz w:val="24"/>
          <w:szCs w:val="24"/>
        </w:rPr>
        <w:t>редприниматель</w:t>
      </w:r>
      <w:r w:rsidR="00D317A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C5372" w:rsidRPr="00081F69">
        <w:rPr>
          <w:rFonts w:ascii="Times New Roman" w:hAnsi="Times New Roman"/>
          <w:sz w:val="23"/>
          <w:szCs w:val="23"/>
        </w:rPr>
        <w:t>в целях технологического присоединения</w:t>
      </w:r>
      <w:r w:rsidR="00A83C3D">
        <w:rPr>
          <w:rFonts w:ascii="Times New Roman" w:hAnsi="Times New Roman"/>
          <w:sz w:val="23"/>
          <w:szCs w:val="23"/>
        </w:rPr>
        <w:t xml:space="preserve"> по второй или третьей категории надежности</w:t>
      </w:r>
      <w:r w:rsidR="006C5372" w:rsidRPr="00081F69">
        <w:rPr>
          <w:rFonts w:ascii="Times New Roman" w:hAnsi="Times New Roman"/>
          <w:sz w:val="23"/>
          <w:szCs w:val="23"/>
        </w:rPr>
        <w:t xml:space="preserve"> энергопринимающих устройств, </w:t>
      </w:r>
      <w:r w:rsidR="00D317AE" w:rsidRPr="005F70C0">
        <w:rPr>
          <w:rFonts w:ascii="Times New Roman" w:eastAsiaTheme="minorHAnsi" w:hAnsi="Times New Roman"/>
          <w:bCs/>
          <w:sz w:val="24"/>
          <w:szCs w:val="24"/>
        </w:rPr>
        <w:t>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D317A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E2A74" w:rsidRDefault="00873961" w:rsidP="00CB6784">
      <w:pPr>
        <w:pStyle w:val="a3"/>
        <w:suppressAutoHyphens/>
        <w:ind w:left="927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Порядок определения стоимости услуг</w:t>
      </w:r>
      <w:r w:rsidR="00DC7494" w:rsidRPr="00081F69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</w:p>
    <w:p w:rsidR="001E2A74" w:rsidRPr="00146078" w:rsidRDefault="001E2A74" w:rsidP="001E2A74">
      <w:pPr>
        <w:pStyle w:val="a3"/>
        <w:numPr>
          <w:ilvl w:val="0"/>
          <w:numId w:val="33"/>
        </w:numPr>
        <w:suppressAutoHyphens/>
        <w:ind w:left="0" w:firstLine="128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р</w:t>
      </w:r>
      <w:r w:rsidRPr="00146078">
        <w:rPr>
          <w:rFonts w:ascii="Times New Roman" w:eastAsiaTheme="minorHAnsi" w:hAnsi="Times New Roman"/>
          <w:sz w:val="24"/>
          <w:szCs w:val="24"/>
        </w:rPr>
        <w:t>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в размере не более 550 рублей при условии, что:</w:t>
      </w:r>
    </w:p>
    <w:p w:rsidR="001E2A74" w:rsidRPr="00146078" w:rsidRDefault="001E2A74" w:rsidP="001E2A74">
      <w:pPr>
        <w:pStyle w:val="a3"/>
        <w:suppressAutoHyphens/>
        <w:ind w:firstLine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078">
        <w:rPr>
          <w:rFonts w:ascii="Times New Roman" w:eastAsiaTheme="minorHAnsi" w:hAnsi="Times New Roman"/>
          <w:sz w:val="24"/>
          <w:szCs w:val="24"/>
        </w:rPr>
        <w:t>-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местности;</w:t>
      </w:r>
    </w:p>
    <w:p w:rsidR="001E2A74" w:rsidRPr="00146078" w:rsidRDefault="001E2A74" w:rsidP="001E2A74">
      <w:pPr>
        <w:pStyle w:val="a3"/>
        <w:suppressAutoHyphens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078">
        <w:rPr>
          <w:rFonts w:ascii="Times New Roman" w:eastAsiaTheme="minorHAnsi" w:hAnsi="Times New Roman"/>
          <w:sz w:val="24"/>
          <w:szCs w:val="24"/>
        </w:rPr>
        <w:t>- в границах муниципальных районов, городских округов одно и то же лицо может осуществить технологическое присоединение энергопринимающих устройств, не более одного раза в течении 3 лет;</w:t>
      </w:r>
    </w:p>
    <w:p w:rsidR="001E2A74" w:rsidRPr="00146078" w:rsidRDefault="001E2A74" w:rsidP="001E2A74">
      <w:pPr>
        <w:pStyle w:val="a3"/>
        <w:suppressAutoHyphens/>
        <w:ind w:firstLine="1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078">
        <w:rPr>
          <w:rFonts w:ascii="Times New Roman" w:hAnsi="Times New Roman"/>
          <w:color w:val="000000" w:themeColor="text1"/>
          <w:sz w:val="24"/>
          <w:szCs w:val="24"/>
        </w:rPr>
        <w:t>- срок договора аренды земельного участка, на котором располагаются (будут располагаться) энергопринимающие устройства заявителя, более 1 года:</w:t>
      </w:r>
    </w:p>
    <w:p w:rsidR="001E2A74" w:rsidRPr="00146078" w:rsidRDefault="001E2A74" w:rsidP="001E2A74">
      <w:pPr>
        <w:pStyle w:val="a3"/>
        <w:suppressAutoHyphens/>
        <w:ind w:left="1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078">
        <w:rPr>
          <w:rFonts w:ascii="Times New Roman" w:hAnsi="Times New Roman"/>
          <w:color w:val="000000" w:themeColor="text1"/>
          <w:sz w:val="24"/>
          <w:szCs w:val="24"/>
        </w:rPr>
        <w:t>- энергопринимающие устройства заявителя не должны располагаться в жилых помещениях многоквартирных домов.</w:t>
      </w:r>
    </w:p>
    <w:p w:rsidR="009A72DF" w:rsidRDefault="001E2A74" w:rsidP="009A72DF">
      <w:pPr>
        <w:pStyle w:val="af"/>
        <w:numPr>
          <w:ilvl w:val="0"/>
          <w:numId w:val="31"/>
        </w:numPr>
        <w:suppressAutoHyphens/>
        <w:spacing w:after="0" w:line="240" w:lineRule="auto"/>
        <w:ind w:left="0" w:firstLine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6078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энергопринимающих устройств максимальной мощностью до 150 кВт включительно (с учетом ранее присоединенных в данной точке присоединения энергопринимающих устройств), устанавливается </w:t>
      </w:r>
      <w:r w:rsidRPr="00146078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Постановлением Региональной энергетической комиссии Кемеро</w:t>
      </w:r>
      <w:r w:rsidR="00CD782F">
        <w:rPr>
          <w:rFonts w:ascii="Times New Roman" w:hAnsi="Times New Roman"/>
          <w:color w:val="000000" w:themeColor="text1"/>
          <w:sz w:val="24"/>
          <w:szCs w:val="24"/>
        </w:rPr>
        <w:t>вской области от 31.12.2018</w:t>
      </w:r>
      <w:bookmarkStart w:id="6" w:name="_GoBack"/>
      <w:bookmarkEnd w:id="6"/>
      <w:r w:rsidR="00CD782F">
        <w:rPr>
          <w:rFonts w:ascii="Times New Roman" w:hAnsi="Times New Roman"/>
          <w:color w:val="000000" w:themeColor="text1"/>
          <w:sz w:val="24"/>
          <w:szCs w:val="24"/>
        </w:rPr>
        <w:t xml:space="preserve"> №779</w:t>
      </w:r>
      <w:r w:rsidRPr="001460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72DF" w:rsidRPr="009A72DF" w:rsidRDefault="009A72DF" w:rsidP="009A72DF">
      <w:pPr>
        <w:pStyle w:val="af"/>
        <w:numPr>
          <w:ilvl w:val="0"/>
          <w:numId w:val="31"/>
        </w:numPr>
        <w:suppressAutoHyphens/>
        <w:spacing w:after="0" w:line="240" w:lineRule="auto"/>
        <w:ind w:left="0" w:firstLine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Предусматривается беспроцентная рассрочка платежа в размере 95 процентов платы за технологическое присоединение </w:t>
      </w:r>
      <w:r w:rsidR="00F85275">
        <w:rPr>
          <w:rFonts w:ascii="Times New Roman" w:hAnsi="Times New Roman"/>
          <w:sz w:val="24"/>
          <w:szCs w:val="24"/>
        </w:rPr>
        <w:t>с условием ежеквартального внесения платы равными долями от общей суммы р</w:t>
      </w:r>
      <w:r w:rsidR="00155F61">
        <w:rPr>
          <w:rFonts w:ascii="Times New Roman" w:hAnsi="Times New Roman"/>
          <w:sz w:val="24"/>
          <w:szCs w:val="24"/>
        </w:rPr>
        <w:t>ассрочки на период до 3 лет с да</w:t>
      </w:r>
      <w:r w:rsidR="00F85275">
        <w:rPr>
          <w:rFonts w:ascii="Times New Roman" w:hAnsi="Times New Roman"/>
          <w:sz w:val="24"/>
          <w:szCs w:val="24"/>
        </w:rPr>
        <w:t xml:space="preserve">ты подписания сторонами акта об осуществлении </w:t>
      </w:r>
      <w:r w:rsidR="00155F61">
        <w:rPr>
          <w:rFonts w:ascii="Times New Roman" w:hAnsi="Times New Roman"/>
          <w:sz w:val="24"/>
          <w:szCs w:val="24"/>
        </w:rPr>
        <w:t>технологического присоединения.</w:t>
      </w:r>
    </w:p>
    <w:p w:rsidR="007F123E" w:rsidRDefault="006E4754" w:rsidP="003C52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Условия оказания услуг</w:t>
      </w:r>
      <w:r w:rsidR="00DC7494" w:rsidRPr="00081F69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(процесса):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F123E">
        <w:rPr>
          <w:rFonts w:ascii="Times New Roman" w:hAnsi="Times New Roman"/>
          <w:color w:val="000000" w:themeColor="text1"/>
          <w:sz w:val="24"/>
          <w:szCs w:val="24"/>
        </w:rPr>
        <w:t xml:space="preserve">намерение </w:t>
      </w:r>
      <w:r w:rsidR="007F123E">
        <w:rPr>
          <w:rFonts w:ascii="Times New Roman" w:eastAsiaTheme="minorHAnsi" w:hAnsi="Times New Roman"/>
          <w:bCs/>
          <w:sz w:val="24"/>
          <w:szCs w:val="24"/>
        </w:rPr>
        <w:t>юридического лица или индивидуального</w:t>
      </w:r>
      <w:r w:rsidR="007F123E" w:rsidRPr="005F70C0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7F123E">
        <w:rPr>
          <w:rFonts w:ascii="Times New Roman" w:eastAsiaTheme="minorHAnsi" w:hAnsi="Times New Roman"/>
          <w:bCs/>
          <w:sz w:val="24"/>
          <w:szCs w:val="24"/>
        </w:rPr>
        <w:t>редпринимателя</w:t>
      </w:r>
      <w:r w:rsidR="007F123E" w:rsidRPr="005F70C0">
        <w:rPr>
          <w:rFonts w:ascii="Times New Roman" w:eastAsiaTheme="minorHAnsi" w:hAnsi="Times New Roman"/>
          <w:bCs/>
          <w:sz w:val="24"/>
          <w:szCs w:val="24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7F123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82A38" w:rsidRPr="00081F69" w:rsidRDefault="00582A38" w:rsidP="003C52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Результат оказания услуги (процесса):</w:t>
      </w:r>
      <w:r w:rsidR="00863A42"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осуществление </w:t>
      </w:r>
      <w:r w:rsidR="0014286A" w:rsidRPr="00081F69">
        <w:rPr>
          <w:rFonts w:ascii="Times New Roman" w:hAnsi="Times New Roman"/>
          <w:sz w:val="23"/>
          <w:szCs w:val="23"/>
        </w:rPr>
        <w:t>технологическо</w:t>
      </w:r>
      <w:r w:rsidR="00863A42" w:rsidRPr="00081F69">
        <w:rPr>
          <w:rFonts w:ascii="Times New Roman" w:hAnsi="Times New Roman"/>
          <w:sz w:val="23"/>
          <w:szCs w:val="23"/>
        </w:rPr>
        <w:t>го</w:t>
      </w:r>
      <w:r w:rsidR="0014286A" w:rsidRPr="00081F69">
        <w:rPr>
          <w:rFonts w:ascii="Times New Roman" w:hAnsi="Times New Roman"/>
          <w:sz w:val="23"/>
          <w:szCs w:val="23"/>
        </w:rPr>
        <w:t xml:space="preserve"> присоединения энергопринимающих устройств до 15</w:t>
      </w:r>
      <w:r w:rsidR="007F123E">
        <w:rPr>
          <w:rFonts w:ascii="Times New Roman" w:hAnsi="Times New Roman"/>
          <w:sz w:val="23"/>
          <w:szCs w:val="23"/>
        </w:rPr>
        <w:t>0</w:t>
      </w:r>
      <w:r w:rsidR="0014286A" w:rsidRPr="00081F69">
        <w:rPr>
          <w:rFonts w:ascii="Times New Roman" w:hAnsi="Times New Roman"/>
          <w:sz w:val="23"/>
          <w:szCs w:val="23"/>
        </w:rPr>
        <w:t xml:space="preserve"> кВт включительно. </w:t>
      </w:r>
    </w:p>
    <w:p w:rsidR="00493A9D" w:rsidRPr="00956B15" w:rsidRDefault="00582A38" w:rsidP="00956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Общий срок оказания услуги (процесса)</w:t>
      </w:r>
      <w:r w:rsidR="00493A9D"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: </w:t>
      </w:r>
      <w:r w:rsidR="00956B15">
        <w:rPr>
          <w:rFonts w:ascii="Times New Roman" w:eastAsiaTheme="minorHAnsi" w:hAnsi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956B15">
        <w:rPr>
          <w:rFonts w:ascii="Times New Roman" w:eastAsiaTheme="minorHAnsi" w:hAnsi="Times New Roman"/>
        </w:rPr>
        <w:t>кВ</w:t>
      </w:r>
      <w:proofErr w:type="spellEnd"/>
      <w:r w:rsidR="00956B15">
        <w:rPr>
          <w:rFonts w:ascii="Times New Roman" w:eastAsiaTheme="minorHAnsi" w:hAnsi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BE71F0" w:rsidRDefault="00FA0A7B" w:rsidP="00956B15">
      <w:pPr>
        <w:pStyle w:val="af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/>
        </w:rPr>
      </w:pPr>
      <w:r w:rsidRPr="00956B15">
        <w:rPr>
          <w:rFonts w:ascii="Times New Roman" w:hAnsi="Times New Roman"/>
          <w:b/>
          <w:sz w:val="23"/>
          <w:szCs w:val="23"/>
        </w:rPr>
        <w:t>4 месяца</w:t>
      </w:r>
      <w:r w:rsidR="00EF712F" w:rsidRPr="00956B15">
        <w:rPr>
          <w:rFonts w:ascii="Times New Roman" w:hAnsi="Times New Roman"/>
          <w:sz w:val="23"/>
          <w:szCs w:val="23"/>
        </w:rPr>
        <w:t xml:space="preserve"> - </w:t>
      </w:r>
      <w:r w:rsidR="00956B15" w:rsidRPr="00956B15">
        <w:rPr>
          <w:rFonts w:ascii="Times New Roman" w:hAnsi="Times New Roman"/>
        </w:rPr>
        <w:t>для заявителей, максимальная мощность энергопринимающих устройств которых составляет до 670 кВт включительно;</w:t>
      </w:r>
    </w:p>
    <w:p w:rsidR="00956B15" w:rsidRPr="00956B15" w:rsidRDefault="00956B15" w:rsidP="00956B15">
      <w:pPr>
        <w:pStyle w:val="af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  <w:szCs w:val="23"/>
        </w:rPr>
        <w:t>в иных случаях:</w:t>
      </w:r>
    </w:p>
    <w:p w:rsidR="00FA0A7B" w:rsidRPr="00A93768" w:rsidRDefault="00FA0A7B" w:rsidP="00A93768">
      <w:pPr>
        <w:pStyle w:val="af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/>
          <w:bCs/>
        </w:rPr>
      </w:pPr>
      <w:r w:rsidRPr="00956B15">
        <w:rPr>
          <w:rFonts w:ascii="Times New Roman" w:hAnsi="Times New Roman"/>
          <w:b/>
          <w:sz w:val="23"/>
          <w:szCs w:val="23"/>
        </w:rPr>
        <w:t>6 месяцев</w:t>
      </w:r>
      <w:r w:rsidR="00A93768">
        <w:rPr>
          <w:rFonts w:ascii="Times New Roman" w:hAnsi="Times New Roman"/>
          <w:sz w:val="23"/>
          <w:szCs w:val="23"/>
        </w:rPr>
        <w:t xml:space="preserve"> - </w:t>
      </w:r>
      <w:r w:rsidR="00956B15" w:rsidRPr="00956B15">
        <w:rPr>
          <w:rFonts w:ascii="Times New Roman" w:hAnsi="Times New Roman"/>
          <w:bCs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956B15" w:rsidRPr="00956B15">
        <w:rPr>
          <w:rFonts w:ascii="Times New Roman" w:hAnsi="Times New Roman"/>
          <w:bCs/>
        </w:rPr>
        <w:t>кВ</w:t>
      </w:r>
      <w:proofErr w:type="spellEnd"/>
      <w:r w:rsidR="00956B15" w:rsidRPr="00956B15">
        <w:rPr>
          <w:rFonts w:ascii="Times New Roman" w:hAnsi="Times New Roman"/>
          <w:bCs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F3697A" w:rsidRPr="00CB6784" w:rsidRDefault="00FA0A7B" w:rsidP="00CB6784">
      <w:pPr>
        <w:pStyle w:val="af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Style w:val="11"/>
          <w:rFonts w:eastAsiaTheme="minorHAnsi" w:cstheme="minorBidi"/>
          <w:color w:val="auto"/>
          <w:u w:val="none"/>
          <w:shd w:val="clear" w:color="auto" w:fill="auto"/>
        </w:rPr>
      </w:pPr>
      <w:r w:rsidRPr="00A93768">
        <w:rPr>
          <w:rFonts w:ascii="Times New Roman" w:hAnsi="Times New Roman"/>
          <w:b/>
          <w:sz w:val="23"/>
          <w:szCs w:val="23"/>
        </w:rPr>
        <w:t>1 год</w:t>
      </w:r>
      <w:r w:rsidRPr="00A93768">
        <w:rPr>
          <w:rFonts w:ascii="Times New Roman" w:hAnsi="Times New Roman"/>
          <w:sz w:val="23"/>
          <w:szCs w:val="23"/>
        </w:rPr>
        <w:t xml:space="preserve"> </w:t>
      </w:r>
      <w:r w:rsidR="009414DC" w:rsidRPr="00A93768">
        <w:rPr>
          <w:rFonts w:ascii="Times New Roman" w:hAnsi="Times New Roman"/>
          <w:sz w:val="23"/>
          <w:szCs w:val="23"/>
        </w:rPr>
        <w:t>–</w:t>
      </w:r>
      <w:r w:rsidRPr="00A93768">
        <w:rPr>
          <w:rFonts w:ascii="Times New Roman" w:hAnsi="Times New Roman"/>
          <w:sz w:val="23"/>
          <w:szCs w:val="23"/>
        </w:rPr>
        <w:t xml:space="preserve"> </w:t>
      </w:r>
      <w:r w:rsidR="00A93768" w:rsidRPr="00A93768">
        <w:rPr>
          <w:rFonts w:ascii="Times New Roman" w:hAnsi="Times New Roman"/>
        </w:rPr>
        <w:t xml:space="preserve"> для заявителей, максимальная мощность энергопринимающих устройств которых составляет менее 670 кВт</w:t>
      </w:r>
      <w:r w:rsidR="00A93768">
        <w:rPr>
          <w:rFonts w:ascii="Times New Roman" w:hAnsi="Times New Roman"/>
        </w:rPr>
        <w:t>.</w:t>
      </w:r>
    </w:p>
    <w:p w:rsidR="008D537F" w:rsidRPr="003B2CA5" w:rsidRDefault="008D537F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8D537F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47"/>
        <w:gridCol w:w="2268"/>
        <w:gridCol w:w="3685"/>
        <w:gridCol w:w="2835"/>
        <w:gridCol w:w="2410"/>
        <w:gridCol w:w="1863"/>
      </w:tblGrid>
      <w:tr w:rsidR="008B3B80" w:rsidRPr="008B3B80" w:rsidTr="00227278">
        <w:trPr>
          <w:trHeight w:val="849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B3B80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47" w:type="dxa"/>
            <w:shd w:val="clear" w:color="auto" w:fill="8DB3E2" w:themeFill="text2" w:themeFillTint="66"/>
            <w:vAlign w:val="center"/>
          </w:tcPr>
          <w:p w:rsidR="007E719B" w:rsidRPr="00AF697C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E719B" w:rsidRPr="00AF697C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Условия этапа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7E719B" w:rsidRPr="00AF697C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AF697C" w:rsidRDefault="007E719B" w:rsidP="00061A2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7E719B" w:rsidRPr="00AF697C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предоставления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C742B" w:rsidRPr="00AF697C" w:rsidRDefault="007E719B" w:rsidP="00061A2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7E719B" w:rsidRPr="00AF697C" w:rsidRDefault="007E719B" w:rsidP="00061A24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863" w:type="dxa"/>
            <w:shd w:val="clear" w:color="auto" w:fill="8DB3E2" w:themeFill="text2" w:themeFillTint="66"/>
            <w:vAlign w:val="center"/>
          </w:tcPr>
          <w:p w:rsidR="00AF697C" w:rsidRPr="00AF697C" w:rsidRDefault="00AF697C" w:rsidP="00061A24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742B" w:rsidRPr="00AF697C" w:rsidRDefault="007E719B" w:rsidP="00061A24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Ссылка на </w:t>
            </w:r>
          </w:p>
          <w:p w:rsidR="007E719B" w:rsidRPr="00AF697C" w:rsidRDefault="007E719B" w:rsidP="00061A24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97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нормативно- правовой акт</w:t>
            </w:r>
          </w:p>
        </w:tc>
      </w:tr>
      <w:tr w:rsidR="005B28DB" w:rsidRPr="008B3B80" w:rsidTr="00227278">
        <w:trPr>
          <w:trHeight w:val="3639"/>
          <w:jc w:val="center"/>
        </w:trPr>
        <w:tc>
          <w:tcPr>
            <w:tcW w:w="496" w:type="dxa"/>
            <w:vMerge w:val="restart"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B3B80">
              <w:rPr>
                <w:rFonts w:ascii="Times New Roman" w:hAnsi="Times New Roman"/>
                <w:color w:val="000000" w:themeColor="text1"/>
              </w:rPr>
              <w:t>I</w:t>
            </w:r>
            <w:r w:rsidRPr="008B3B80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247" w:type="dxa"/>
            <w:vMerge w:val="restart"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на технологическое присоединение </w:t>
            </w:r>
            <w:r w:rsidRPr="008B3B80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268" w:type="dxa"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Theme="minorHAnsi" w:hAnsi="Times New Roman"/>
              </w:rPr>
              <w:t>Намерение заявителя осуществить технологическое присоединение.</w:t>
            </w:r>
          </w:p>
        </w:tc>
        <w:tc>
          <w:tcPr>
            <w:tcW w:w="3685" w:type="dxa"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1.1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061A2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</w:p>
          <w:p w:rsidR="005B28DB" w:rsidRPr="008B3B80" w:rsidRDefault="005B28DB" w:rsidP="00061A2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061A24">
            <w:pPr>
              <w:suppressAutoHyphens/>
              <w:ind w:firstLine="39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посредством официального сайта сетевой организации с использованием идентификатора и пароля,  после прохождения регистрации в Личном кабинете</w:t>
            </w:r>
            <w:r w:rsidRPr="008B3B80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B3B8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28DB" w:rsidRPr="008B3B80" w:rsidRDefault="005B28DB" w:rsidP="007D6684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410" w:type="dxa"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7-10, 12.</w:t>
            </w:r>
            <w:r w:rsidRPr="008B3B80">
              <w:rPr>
                <w:rFonts w:ascii="Times New Roman" w:hAnsi="Times New Roman"/>
                <w:lang w:eastAsia="ru-RU"/>
              </w:rPr>
              <w:t>1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Правил</w:t>
            </w:r>
          </w:p>
          <w:p w:rsidR="005B28DB" w:rsidRPr="008B3B80" w:rsidRDefault="005B28DB" w:rsidP="00227278">
            <w:pPr>
              <w:keepLines/>
              <w:ind w:right="-389" w:hanging="1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</w:t>
            </w:r>
          </w:p>
          <w:p w:rsidR="005B28DB" w:rsidRPr="008B3B80" w:rsidRDefault="005B28DB" w:rsidP="00227278">
            <w:pPr>
              <w:keepLines/>
              <w:ind w:left="28" w:right="-389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устройств </w:t>
            </w:r>
          </w:p>
          <w:p w:rsidR="005B28DB" w:rsidRPr="008B3B80" w:rsidRDefault="005B28DB" w:rsidP="00227278">
            <w:pPr>
              <w:keepLines/>
              <w:ind w:left="28" w:right="-389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потребителей электрической </w:t>
            </w:r>
          </w:p>
          <w:p w:rsidR="005B28DB" w:rsidRPr="008B3B80" w:rsidRDefault="005B28DB" w:rsidP="00227278">
            <w:pPr>
              <w:keepLines/>
              <w:ind w:left="28" w:right="-38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энергии.</w:t>
            </w:r>
          </w:p>
          <w:p w:rsidR="005B28DB" w:rsidRPr="008B3B80" w:rsidRDefault="005B28DB" w:rsidP="00227278">
            <w:pPr>
              <w:pStyle w:val="a3"/>
              <w:keepLine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28DB" w:rsidRPr="008B3B80" w:rsidTr="00227278">
        <w:trPr>
          <w:trHeight w:val="2066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необходимых при подаче заявки на технологическое присоединение.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28DB" w:rsidRPr="007D6684" w:rsidRDefault="005B28DB" w:rsidP="00061A24">
            <w:pPr>
              <w:suppressAutoHyphens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 Сетевая организация направляет </w:t>
            </w:r>
            <w:r w:rsidRPr="008B3B80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5" w:type="dxa"/>
            <w:vMerge w:val="restart"/>
            <w:vAlign w:val="center"/>
          </w:tcPr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5B28DB" w:rsidRPr="008B3B80" w:rsidRDefault="005B28DB" w:rsidP="00061A24">
            <w:pPr>
              <w:suppressAutoHyphens/>
              <w:ind w:left="-43" w:firstLine="36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5B28DB" w:rsidRPr="008B3B80" w:rsidRDefault="005B28DB" w:rsidP="00061A24">
            <w:pPr>
              <w:suppressAutoHyphens/>
              <w:ind w:firstLine="317"/>
              <w:rPr>
                <w:rStyle w:val="11"/>
                <w:rFonts w:eastAsia="Calibri"/>
                <w:color w:val="auto"/>
                <w:u w:val="none"/>
                <w:shd w:val="clear" w:color="auto" w:fill="auto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  <w:p w:rsidR="005B28DB" w:rsidRPr="008B3B80" w:rsidRDefault="005B28DB" w:rsidP="00061A24">
            <w:pPr>
              <w:suppressAutoHyphens/>
              <w:ind w:firstLine="317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 рабочих дня с даты получения заявки на технологическое присоединение.</w:t>
            </w:r>
          </w:p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B28DB" w:rsidRPr="008B3B80" w:rsidRDefault="005B28DB" w:rsidP="00227278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5133F2">
        <w:trPr>
          <w:trHeight w:val="70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получения указанного уведомления.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1.3 Сетевая организация аннулирует заявку и уведомляет об этом заявителя.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заявки.</w:t>
            </w:r>
          </w:p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B28DB" w:rsidRPr="008B3B80" w:rsidRDefault="005B28DB" w:rsidP="00227278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2819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документов, необходимых для заключения договора об осуществлении технологического присоединения.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1.4 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 w:rsidRPr="008B3B8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B3B80">
              <w:rPr>
                <w:rFonts w:ascii="Times New Roman" w:hAnsi="Times New Roman"/>
              </w:rPr>
              <w:t xml:space="preserve"> в бумажном виде, либо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061A2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061A2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061A24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электронный документ. </w:t>
            </w:r>
          </w:p>
          <w:p w:rsidR="005B28DB" w:rsidRPr="008B3B80" w:rsidRDefault="005B28DB" w:rsidP="00061A24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В течение 15 дней со дня получения заявки.</w:t>
            </w:r>
          </w:p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B28DB" w:rsidRPr="008B3B80" w:rsidRDefault="005B28DB" w:rsidP="00227278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2697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3685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B3B80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B3B80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B3B80">
              <w:rPr>
                <w:rFonts w:ascii="Times New Roman" w:hAnsi="Times New Roman"/>
              </w:rPr>
              <w:t>.</w:t>
            </w:r>
          </w:p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B28DB" w:rsidRPr="008B3B80" w:rsidRDefault="005B28DB" w:rsidP="00061A24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В течение 10 рабочих дней с даты получения подписанного сетевой организацией проекта договора.</w:t>
            </w: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B28DB" w:rsidRPr="008B3B80" w:rsidRDefault="005B28DB" w:rsidP="00227278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3386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технологического присоединения. </w:t>
            </w:r>
          </w:p>
        </w:tc>
        <w:tc>
          <w:tcPr>
            <w:tcW w:w="3685" w:type="dxa"/>
          </w:tcPr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1.6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разногласий.</w:t>
            </w:r>
          </w:p>
        </w:tc>
        <w:tc>
          <w:tcPr>
            <w:tcW w:w="2835" w:type="dxa"/>
            <w:vAlign w:val="center"/>
          </w:tcPr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061A24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3B80">
              <w:rPr>
                <w:rFonts w:ascii="Times New Roman" w:eastAsiaTheme="minorHAnsi" w:hAnsi="Times New Roman"/>
              </w:rPr>
              <w:t xml:space="preserve"> заказным почтовым отправлением с уведомлением о вручении.</w:t>
            </w:r>
          </w:p>
          <w:p w:rsidR="005B28DB" w:rsidRPr="008B3B80" w:rsidRDefault="005B28DB" w:rsidP="00061A24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-электронная почта, факс и т.д.</w:t>
            </w: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10 рабочих дней со дня получения заявителем, подписанного сетевой организацией проекта договора и технических условий.</w:t>
            </w: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5233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5B28DB" w:rsidRPr="008B3B80" w:rsidRDefault="001A51C1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проекта договора </w:t>
            </w:r>
            <w:r w:rsidR="005B28DB">
              <w:rPr>
                <w:rFonts w:ascii="Times New Roman" w:eastAsia="Times New Roman" w:hAnsi="Times New Roman"/>
                <w:lang w:eastAsia="ru-RU"/>
              </w:rPr>
              <w:t>Правилам</w:t>
            </w: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5B28DB" w:rsidRPr="008B3B80" w:rsidRDefault="005B28DB" w:rsidP="00061A24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1.7  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5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B3B80">
              <w:rPr>
                <w:rFonts w:ascii="Times New Roman" w:hAnsi="Times New Roman"/>
              </w:rPr>
              <w:t xml:space="preserve"> в бумажном виде, либо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061A2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061A2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061A24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5B28DB" w:rsidRPr="008B3B80" w:rsidRDefault="005B28DB" w:rsidP="00061A24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10 рабочих дней с даты получения требования заявителя.</w:t>
            </w: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B28DB" w:rsidRPr="008B3B80" w:rsidRDefault="005B28DB" w:rsidP="00227278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5B28DB">
        <w:trPr>
          <w:trHeight w:val="5040"/>
          <w:jc w:val="center"/>
        </w:trPr>
        <w:tc>
          <w:tcPr>
            <w:tcW w:w="496" w:type="dxa"/>
            <w:vMerge/>
          </w:tcPr>
          <w:p w:rsidR="005B28DB" w:rsidRPr="008B3B80" w:rsidRDefault="005B28DB" w:rsidP="00061A2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061A24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технологического присоединения. </w:t>
            </w:r>
          </w:p>
        </w:tc>
        <w:tc>
          <w:tcPr>
            <w:tcW w:w="3685" w:type="dxa"/>
          </w:tcPr>
          <w:p w:rsidR="005B28DB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1.8 Направление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энергопринимающих устройств, в которой указан гарантирующий поставщик или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  <w:p w:rsidR="005B28DB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B28DB" w:rsidRPr="008B3B80" w:rsidRDefault="005B28DB" w:rsidP="00061A24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B28DB" w:rsidRPr="008B3B80" w:rsidRDefault="005B28DB" w:rsidP="00061A24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5B28DB" w:rsidRPr="008B3B80" w:rsidRDefault="005B28DB" w:rsidP="00061A24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2410" w:type="dxa"/>
          </w:tcPr>
          <w:p w:rsidR="005B28DB" w:rsidRPr="008B3B80" w:rsidRDefault="005B28DB" w:rsidP="00061A2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1863" w:type="dxa"/>
          </w:tcPr>
          <w:p w:rsidR="005B28DB" w:rsidRPr="008B3B80" w:rsidRDefault="005B28DB" w:rsidP="00227278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Пункт 15 (1)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B28DB" w:rsidRPr="008B3B80" w:rsidTr="008E5734">
        <w:trPr>
          <w:trHeight w:val="258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заявителем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1.9 Поданная заявителем заявка на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осуществление технологического присоединения аннулируется. </w:t>
            </w:r>
          </w:p>
        </w:tc>
        <w:tc>
          <w:tcPr>
            <w:tcW w:w="2835" w:type="dxa"/>
          </w:tcPr>
          <w:p w:rsidR="005B28DB" w:rsidRPr="00EF0C15" w:rsidRDefault="005B28DB" w:rsidP="005B28D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 ранее чем через 30 </w:t>
            </w:r>
            <w:r>
              <w:rPr>
                <w:rFonts w:ascii="Times New Roman" w:hAnsi="Times New Roman"/>
              </w:rPr>
              <w:lastRenderedPageBreak/>
              <w:t>рабочих дней со дня получения заявителем проекта договора и технических условий.</w:t>
            </w:r>
          </w:p>
        </w:tc>
        <w:tc>
          <w:tcPr>
            <w:tcW w:w="1863" w:type="dxa"/>
          </w:tcPr>
          <w:p w:rsidR="005B28DB" w:rsidRDefault="005B28DB" w:rsidP="005B28DB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Пункт 15</w:t>
            </w:r>
            <w:r w:rsidRPr="008B3B80">
              <w:rPr>
                <w:rFonts w:ascii="Times New Roman" w:hAnsi="Times New Roman"/>
              </w:rPr>
              <w:t xml:space="preserve"> Правил </w:t>
            </w:r>
            <w:r w:rsidRPr="008B3B80">
              <w:rPr>
                <w:rFonts w:ascii="Times New Roman" w:hAnsi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/>
              </w:rPr>
              <w:t>.</w:t>
            </w:r>
          </w:p>
          <w:p w:rsidR="005B28DB" w:rsidRPr="008B3B80" w:rsidRDefault="005B28DB" w:rsidP="005B28DB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5B28DB" w:rsidRPr="008B3B80" w:rsidTr="00227278">
        <w:trPr>
          <w:trHeight w:val="70"/>
          <w:jc w:val="center"/>
        </w:trPr>
        <w:tc>
          <w:tcPr>
            <w:tcW w:w="496" w:type="dxa"/>
            <w:vMerge w:val="restart"/>
          </w:tcPr>
          <w:p w:rsidR="005B28DB" w:rsidRPr="008B3B80" w:rsidRDefault="005B28DB" w:rsidP="005B28D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B3B80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8B3B80">
              <w:rPr>
                <w:rFonts w:ascii="Times New Roman" w:hAnsi="Times New Roman"/>
                <w:color w:val="000000" w:themeColor="text1"/>
                <w:lang w:val="en-US"/>
              </w:rPr>
              <w:t>II.</w:t>
            </w:r>
          </w:p>
        </w:tc>
        <w:tc>
          <w:tcPr>
            <w:tcW w:w="2247" w:type="dxa"/>
            <w:vMerge w:val="restart"/>
          </w:tcPr>
          <w:p w:rsidR="005B28DB" w:rsidRDefault="005B28DB" w:rsidP="005B28DB">
            <w:pPr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Выполнение сторонами </w:t>
            </w:r>
          </w:p>
          <w:p w:rsidR="005B28DB" w:rsidRDefault="005B28DB" w:rsidP="005B28DB">
            <w:pPr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5B28DB" w:rsidRDefault="005B28DB" w:rsidP="005B28DB">
            <w:pPr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присоединению, </w:t>
            </w:r>
          </w:p>
          <w:p w:rsidR="005B28DB" w:rsidRPr="008B3B80" w:rsidRDefault="005B28DB" w:rsidP="005B28DB">
            <w:pPr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предусмотренных договором.</w:t>
            </w: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 Внесение платы за технологическое присоединение, при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Имеется возможность предоставления беспроцентной рассрочки платежа за технологическое присоединение.</w:t>
            </w:r>
          </w:p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B28DB" w:rsidRPr="008B3B80" w:rsidRDefault="005B28DB" w:rsidP="005B28DB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средств в кассу сетевой организации;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6"/>
              </w:numPr>
              <w:suppressAutoHyphens/>
              <w:ind w:left="30" w:firstLine="3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безналичным способом оплаты в «Личном кабинете».</w:t>
            </w: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об осуществлении технологического присоединения.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16(2)- 16(4), 17 Правил </w:t>
            </w: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  <w:p w:rsidR="005B28DB" w:rsidRPr="008B3B80" w:rsidRDefault="005B28DB" w:rsidP="005B28D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28DB" w:rsidRPr="008B3B80" w:rsidTr="00227278">
        <w:trPr>
          <w:trHeight w:val="2540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2.2. Н</w:t>
            </w:r>
            <w:r w:rsidR="00460717"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B3B80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835" w:type="dxa"/>
            <w:vAlign w:val="center"/>
          </w:tcPr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3B80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410" w:type="dxa"/>
            <w:vMerge w:val="restart"/>
            <w:vAlign w:val="center"/>
          </w:tcPr>
          <w:p w:rsidR="005B28DB" w:rsidRPr="008B3B80" w:rsidRDefault="00460717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договору</w:t>
            </w:r>
            <w:proofErr w:type="gramEnd"/>
            <w:r w:rsidR="005B28DB"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логического присоединения, после</w:t>
            </w:r>
            <w:r w:rsidR="005B28DB"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 всех мероприятий. </w:t>
            </w:r>
          </w:p>
        </w:tc>
        <w:tc>
          <w:tcPr>
            <w:tcW w:w="1863" w:type="dxa"/>
            <w:vMerge w:val="restart"/>
            <w:vAlign w:val="center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Пункт 18</w:t>
            </w:r>
            <w:r w:rsidR="00460717">
              <w:rPr>
                <w:rFonts w:ascii="Times New Roman" w:eastAsia="Times New Roman" w:hAnsi="Times New Roman"/>
                <w:color w:val="000000"/>
                <w:lang w:eastAsia="ru-RU"/>
              </w:rPr>
              <w:t>,85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</w:t>
            </w:r>
          </w:p>
          <w:p w:rsidR="005B28DB" w:rsidRPr="008B3B80" w:rsidRDefault="005B28DB" w:rsidP="005B28D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электрической энергии.</w:t>
            </w:r>
          </w:p>
        </w:tc>
      </w:tr>
      <w:tr w:rsidR="005B28DB" w:rsidRPr="008B3B80" w:rsidTr="00FE3236">
        <w:trPr>
          <w:trHeight w:val="3023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2.3 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уведомления о выполнении технических условий.</w:t>
            </w:r>
          </w:p>
        </w:tc>
        <w:tc>
          <w:tcPr>
            <w:tcW w:w="2835" w:type="dxa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5B28DB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5B28DB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vMerge/>
          </w:tcPr>
          <w:p w:rsidR="005B28DB" w:rsidRPr="008B3B80" w:rsidRDefault="005B28DB" w:rsidP="005B28D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B28DB" w:rsidRPr="008B3B80" w:rsidTr="00227278">
        <w:trPr>
          <w:trHeight w:val="2673"/>
          <w:jc w:val="center"/>
        </w:trPr>
        <w:tc>
          <w:tcPr>
            <w:tcW w:w="496" w:type="dxa"/>
            <w:vMerge w:val="restart"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III.</w:t>
            </w:r>
          </w:p>
        </w:tc>
        <w:tc>
          <w:tcPr>
            <w:tcW w:w="2247" w:type="dxa"/>
            <w:vMerge w:val="restart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Проверка выполнения технических условий, фактическое присоединение энергопринимающих устройств заявителя к объектам электросетевого хозяйства, подписание актов.</w:t>
            </w: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Допуск к эксплуатации установленного прибора учета.</w:t>
            </w:r>
          </w:p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FE3236" w:rsidRPr="00817A6C" w:rsidRDefault="00FE3236" w:rsidP="00FE32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энергопринимающих устройств заявителя. </w:t>
            </w:r>
          </w:p>
          <w:p w:rsidR="005B28DB" w:rsidRPr="008B3B80" w:rsidRDefault="005B28DB" w:rsidP="005B28D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B28DB" w:rsidRPr="008B3B80" w:rsidRDefault="005B28DB" w:rsidP="005B28D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B28DB" w:rsidRPr="008B3B80" w:rsidRDefault="005B28DB" w:rsidP="005B28D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4710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3.1.1  Повторный осмотр электроустановок заявителя.</w:t>
            </w:r>
          </w:p>
        </w:tc>
        <w:tc>
          <w:tcPr>
            <w:tcW w:w="2835" w:type="dxa"/>
            <w:vAlign w:val="center"/>
          </w:tcPr>
          <w:p w:rsidR="005B28DB" w:rsidRPr="008B3B80" w:rsidRDefault="00FE3236" w:rsidP="005B28D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</w:t>
            </w:r>
            <w:r w:rsidR="005B28DB" w:rsidRPr="008B3B80">
              <w:rPr>
                <w:rFonts w:ascii="Times New Roman" w:hAnsi="Times New Roman"/>
              </w:rPr>
              <w:t>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5B28DB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5B28DB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Пункт 82 (1), 89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9870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hAnsi="Times New Roman"/>
              </w:rPr>
              <w:t xml:space="preserve">Отсутствие замечаний </w:t>
            </w:r>
            <w:r w:rsidR="00460717">
              <w:rPr>
                <w:rFonts w:ascii="Times New Roman" w:hAnsi="Times New Roman"/>
              </w:rPr>
              <w:t>по выполнению</w:t>
            </w:r>
            <w:r w:rsidRPr="008B3B80">
              <w:rPr>
                <w:rFonts w:ascii="Times New Roman" w:hAnsi="Times New Roman"/>
              </w:rPr>
              <w:t xml:space="preserve"> заявителем требований технических условий. </w:t>
            </w:r>
          </w:p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hAnsi="Times New Roman"/>
              </w:rPr>
              <w:t xml:space="preserve">3.1.2 Подготовка, направление и подписание заявителем Акта о выполнении технических условий.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 Сетевая организация вместе с актом о выполнении технических условий обязана предоставить заявителю ранее полученные от гарантирующего поставщика: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B3B80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B3B80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B3B80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B3B80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      </w:r>
          </w:p>
          <w:p w:rsidR="005B28DB" w:rsidRPr="008B3B80" w:rsidRDefault="005B28DB" w:rsidP="005B28DB">
            <w:pPr>
              <w:pStyle w:val="af"/>
              <w:suppressAutoHyphens/>
              <w:autoSpaceDE w:val="0"/>
              <w:autoSpaceDN w:val="0"/>
              <w:adjustRightInd w:val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2 экземпляра Акта о выполнении технических условий и акт допуска прибора учёта подписываются в письменной, либо</w:t>
            </w:r>
            <w:r w:rsidRPr="008B3B80">
              <w:rPr>
                <w:rFonts w:ascii="Times New Roman" w:hAnsi="Times New Roman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подписью: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5B28DB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5B28DB" w:rsidRPr="008B3B80" w:rsidRDefault="005B28DB" w:rsidP="005B28D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 В день проведения осмотра. 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Пункт 88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B28DB" w:rsidRPr="008B3B80" w:rsidTr="00227278">
        <w:trPr>
          <w:trHeight w:val="3244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hAnsi="Times New Roman"/>
              </w:rPr>
              <w:t xml:space="preserve">3.1.3 Направление заявителем </w:t>
            </w:r>
            <w:r w:rsidRPr="008B3B80">
              <w:rPr>
                <w:rFonts w:ascii="Times New Roman" w:eastAsiaTheme="minorHAnsi" w:hAnsi="Times New Roman"/>
              </w:rPr>
              <w:t>уведомления о готовности на ввод в эксплуатацию объектов в адрес органа федерального государственного энергетического надзора</w:t>
            </w:r>
            <w:r w:rsidRPr="008B3B80">
              <w:rPr>
                <w:rFonts w:ascii="Times New Roman" w:hAnsi="Times New Roman"/>
              </w:rPr>
              <w:t xml:space="preserve">, если технологическое присоединение </w:t>
            </w:r>
            <w:r w:rsidRPr="008B3B80">
              <w:rPr>
                <w:rFonts w:ascii="Times New Roman" w:eastAsiaTheme="minorHAnsi" w:hAnsi="Times New Roman"/>
              </w:rPr>
              <w:t xml:space="preserve">осуществляется по второй категории надежности к электрическим сетям классом напряжения до 20 </w:t>
            </w:r>
            <w:proofErr w:type="spellStart"/>
            <w:r w:rsidRPr="008B3B80">
              <w:rPr>
                <w:rFonts w:ascii="Times New Roman" w:eastAsiaTheme="minorHAnsi" w:hAnsi="Times New Roman"/>
              </w:rPr>
              <w:t>кВ</w:t>
            </w:r>
            <w:proofErr w:type="spellEnd"/>
            <w:r w:rsidRPr="008B3B80">
              <w:rPr>
                <w:rFonts w:ascii="Times New Roman" w:eastAsiaTheme="minorHAnsi" w:hAnsi="Times New Roman"/>
              </w:rPr>
              <w:t xml:space="preserve"> включительно.</w:t>
            </w:r>
          </w:p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5B28DB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В 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Пункт 18 Правил технологического присоединения энергопринимающих устройств потребителей электрической энергии.</w:t>
            </w: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</w:tc>
      </w:tr>
      <w:tr w:rsidR="005B28DB" w:rsidRPr="008B3B80" w:rsidTr="008D537F">
        <w:trPr>
          <w:trHeight w:val="4812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условий; уведомление о готовности на ввод в эксплуатацию объект</w:t>
            </w:r>
            <w:r>
              <w:rPr>
                <w:rFonts w:ascii="Times New Roman" w:eastAsiaTheme="minorHAnsi" w:hAnsi="Times New Roman"/>
              </w:rPr>
              <w:t>а</w:t>
            </w:r>
            <w:r w:rsidRPr="008B3B80">
              <w:rPr>
                <w:rFonts w:ascii="Times New Roman" w:eastAsiaTheme="minorHAnsi" w:hAnsi="Times New Roman"/>
              </w:rPr>
              <w:t xml:space="preserve"> в адрес органа федерального государственного энергетического надзора</w:t>
            </w:r>
            <w:r w:rsidRPr="008B3B80">
              <w:rPr>
                <w:rFonts w:ascii="Times New Roman" w:hAnsi="Times New Roman"/>
              </w:rPr>
              <w:t xml:space="preserve">, если технологическое присоединение </w:t>
            </w:r>
            <w:r w:rsidRPr="008B3B80">
              <w:rPr>
                <w:rFonts w:ascii="Times New Roman" w:eastAsiaTheme="minorHAnsi" w:hAnsi="Times New Roman"/>
              </w:rPr>
              <w:t>осуществляется по второй категории надежности</w:t>
            </w:r>
            <w:r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3685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bCs/>
                <w:lang w:eastAsia="ru-RU"/>
              </w:rPr>
              <w:t xml:space="preserve">3.2  Подготовка и направление сетевой организацией </w:t>
            </w:r>
            <w:r w:rsidRPr="008B3B80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подписью.</w:t>
            </w:r>
          </w:p>
        </w:tc>
        <w:tc>
          <w:tcPr>
            <w:tcW w:w="2835" w:type="dxa"/>
            <w:vAlign w:val="center"/>
          </w:tcPr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B28DB" w:rsidRPr="008B3B80" w:rsidRDefault="005B28DB" w:rsidP="005B28DB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5B28DB" w:rsidRPr="008B3B80" w:rsidRDefault="005B28DB" w:rsidP="005B28DB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5B28DB" w:rsidRPr="008B3B80" w:rsidRDefault="005B28DB" w:rsidP="005B28D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 позднее 3 рабочих дней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(подачи) напряжения и мощности.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Пункт 19 Правил технологического присоединения энергопринимающих устройств потребителей электрической энергии.</w:t>
            </w: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</w:p>
        </w:tc>
      </w:tr>
      <w:tr w:rsidR="005B28DB" w:rsidRPr="008B3B80" w:rsidTr="00227278">
        <w:trPr>
          <w:trHeight w:val="2016"/>
          <w:jc w:val="center"/>
        </w:trPr>
        <w:tc>
          <w:tcPr>
            <w:tcW w:w="496" w:type="dxa"/>
            <w:vMerge/>
          </w:tcPr>
          <w:p w:rsidR="005B28DB" w:rsidRPr="008B3B80" w:rsidRDefault="005B28DB" w:rsidP="005B28D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7" w:type="dxa"/>
            <w:vMerge/>
          </w:tcPr>
          <w:p w:rsidR="005B28DB" w:rsidRPr="008B3B80" w:rsidRDefault="005B28DB" w:rsidP="005B28D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B28DB" w:rsidRPr="008B3B80" w:rsidRDefault="00312AA1" w:rsidP="005B28D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="005B28DB" w:rsidRPr="008B3B80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685" w:type="dxa"/>
          </w:tcPr>
          <w:p w:rsidR="005B28DB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hAnsi="Times New Roman"/>
              </w:rPr>
              <w:t xml:space="preserve">3.3 </w:t>
            </w:r>
            <w:r w:rsidRPr="008B3B80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</w:t>
            </w:r>
            <w:r>
              <w:rPr>
                <w:rFonts w:ascii="Times New Roman" w:eastAsiaTheme="minorHAnsi" w:hAnsi="Times New Roman"/>
              </w:rPr>
              <w:t xml:space="preserve">ключить договор энергоснабжения </w:t>
            </w:r>
            <w:r w:rsidRPr="008B3B80">
              <w:rPr>
                <w:rFonts w:ascii="Times New Roman" w:eastAsiaTheme="minorHAnsi" w:hAnsi="Times New Roman"/>
              </w:rPr>
              <w:t>электрической энергии (мощности).</w:t>
            </w:r>
          </w:p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Align w:val="center"/>
          </w:tcPr>
          <w:p w:rsidR="005B28DB" w:rsidRPr="008B3B80" w:rsidRDefault="005B28DB" w:rsidP="005B28DB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5B28DB" w:rsidRPr="008B3B80" w:rsidRDefault="005B28DB" w:rsidP="005B28DB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5B28DB" w:rsidRPr="008B3B80" w:rsidRDefault="005B28DB" w:rsidP="005B28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 позднее 2 рабочих дн</w:t>
            </w:r>
            <w:r>
              <w:rPr>
                <w:rFonts w:ascii="Times New Roman" w:eastAsiaTheme="minorHAnsi" w:hAnsi="Times New Roman"/>
              </w:rPr>
              <w:t xml:space="preserve">ей со дня подписания заявителем </w:t>
            </w:r>
            <w:r w:rsidRPr="008B3B80">
              <w:rPr>
                <w:rFonts w:ascii="Times New Roman" w:eastAsiaTheme="minorHAnsi" w:hAnsi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1863" w:type="dxa"/>
          </w:tcPr>
          <w:p w:rsidR="005B28DB" w:rsidRPr="008B3B80" w:rsidRDefault="005B28DB" w:rsidP="005B28DB">
            <w:pPr>
              <w:keepLine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Пункт 19 (1) Правил технологического присоединения энергопринимающих устройств пот</w:t>
            </w:r>
            <w:r>
              <w:rPr>
                <w:rFonts w:ascii="Times New Roman" w:hAnsi="Times New Roman"/>
              </w:rPr>
              <w:t>ребителей электрической энергии.</w:t>
            </w:r>
          </w:p>
        </w:tc>
      </w:tr>
    </w:tbl>
    <w:p w:rsidR="009F18CA" w:rsidRPr="008E7D21" w:rsidRDefault="009F18CA" w:rsidP="00764BEF">
      <w:pPr>
        <w:pStyle w:val="a3"/>
        <w:jc w:val="center"/>
        <w:rPr>
          <w:rFonts w:asciiTheme="majorHAnsi" w:hAnsiTheme="majorHAnsi"/>
          <w:color w:val="000000" w:themeColor="text1"/>
          <w:sz w:val="26"/>
          <w:szCs w:val="26"/>
        </w:rPr>
      </w:pPr>
    </w:p>
    <w:p w:rsidR="008D537F" w:rsidRDefault="008D537F" w:rsidP="009F18CA">
      <w:pPr>
        <w:pStyle w:val="a3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9F18CA" w:rsidRPr="008D537F" w:rsidRDefault="007536C9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D537F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7536C9" w:rsidRPr="008D537F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8D53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8D537F">
        <w:rPr>
          <w:rFonts w:asciiTheme="majorHAnsi" w:hAnsiTheme="majorHAnsi"/>
          <w:b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8D537F">
        <w:rPr>
          <w:rFonts w:asciiTheme="majorHAnsi" w:hAnsiTheme="majorHAnsi"/>
          <w:b/>
          <w:color w:val="000000" w:themeColor="text1"/>
          <w:sz w:val="28"/>
          <w:szCs w:val="28"/>
        </w:rPr>
        <w:t>»</w:t>
      </w:r>
      <w:r w:rsidR="007A5EC5" w:rsidRPr="008D537F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  <w:r w:rsidR="007A5EC5" w:rsidRPr="008D537F">
        <w:rPr>
          <w:rFonts w:asciiTheme="majorHAnsi" w:hAnsiTheme="majorHAnsi"/>
          <w:b/>
          <w:color w:val="0000FF"/>
          <w:sz w:val="28"/>
          <w:szCs w:val="28"/>
        </w:rPr>
        <w:t xml:space="preserve"> </w:t>
      </w:r>
      <w:r w:rsidRPr="008D537F">
        <w:rPr>
          <w:rFonts w:asciiTheme="minorHAnsi" w:hAnsiTheme="minorHAnsi"/>
          <w:b/>
          <w:color w:val="0000FF"/>
          <w:sz w:val="28"/>
          <w:szCs w:val="28"/>
        </w:rPr>
        <w:t>8-800-700-8157</w:t>
      </w:r>
    </w:p>
    <w:p w:rsidR="009F18CA" w:rsidRPr="00CD782F" w:rsidRDefault="007536C9" w:rsidP="00CD782F">
      <w:pPr>
        <w:pStyle w:val="a3"/>
        <w:jc w:val="center"/>
        <w:rPr>
          <w:rFonts w:asciiTheme="majorHAnsi" w:hAnsiTheme="majorHAnsi"/>
          <w:b/>
          <w:color w:val="0000FF"/>
          <w:sz w:val="28"/>
          <w:szCs w:val="28"/>
          <w:lang w:val="en-US"/>
        </w:rPr>
      </w:pPr>
      <w:r w:rsidRPr="008D537F">
        <w:rPr>
          <w:rFonts w:asciiTheme="majorHAnsi" w:hAnsiTheme="majorHAnsi"/>
          <w:b/>
          <w:color w:val="000000" w:themeColor="text1"/>
          <w:sz w:val="28"/>
          <w:szCs w:val="28"/>
        </w:rPr>
        <w:t>Адрес электронной почты:</w:t>
      </w:r>
      <w:r w:rsidRPr="008D537F">
        <w:rPr>
          <w:rFonts w:asciiTheme="majorHAnsi" w:hAnsiTheme="majorHAnsi"/>
          <w:b/>
          <w:color w:val="0000FF"/>
          <w:sz w:val="28"/>
          <w:szCs w:val="28"/>
        </w:rPr>
        <w:t xml:space="preserve"> </w:t>
      </w:r>
      <w:hyperlink r:id="rId8" w:history="1">
        <w:r w:rsidR="007172F2" w:rsidRPr="008D537F">
          <w:rPr>
            <w:rStyle w:val="ae"/>
            <w:rFonts w:asciiTheme="majorHAnsi" w:hAnsiTheme="majorHAnsi"/>
            <w:b/>
            <w:sz w:val="28"/>
            <w:szCs w:val="28"/>
            <w:lang w:val="en-US"/>
          </w:rPr>
          <w:t>Kemerovo</w:t>
        </w:r>
        <w:r w:rsidR="007172F2" w:rsidRPr="008D537F">
          <w:rPr>
            <w:rStyle w:val="ae"/>
            <w:rFonts w:asciiTheme="majorHAnsi" w:hAnsiTheme="majorHAnsi"/>
            <w:b/>
            <w:sz w:val="28"/>
            <w:szCs w:val="28"/>
          </w:rPr>
          <w:t>_</w:t>
        </w:r>
        <w:r w:rsidR="007172F2" w:rsidRPr="008D537F">
          <w:rPr>
            <w:rStyle w:val="ae"/>
            <w:rFonts w:asciiTheme="majorHAnsi" w:hAnsiTheme="majorHAnsi"/>
            <w:b/>
            <w:sz w:val="28"/>
            <w:szCs w:val="28"/>
            <w:lang w:val="en-US"/>
          </w:rPr>
          <w:t>COK</w:t>
        </w:r>
        <w:r w:rsidR="007172F2" w:rsidRPr="008D537F">
          <w:rPr>
            <w:rStyle w:val="ae"/>
            <w:rFonts w:asciiTheme="majorHAnsi" w:hAnsiTheme="majorHAnsi"/>
            <w:b/>
            <w:sz w:val="28"/>
            <w:szCs w:val="28"/>
          </w:rPr>
          <w:t>@</w:t>
        </w:r>
        <w:proofErr w:type="spellStart"/>
        <w:r w:rsidR="007172F2" w:rsidRPr="008D537F">
          <w:rPr>
            <w:rStyle w:val="ae"/>
            <w:rFonts w:asciiTheme="majorHAnsi" w:hAnsiTheme="majorHAnsi"/>
            <w:b/>
            <w:sz w:val="28"/>
            <w:szCs w:val="28"/>
            <w:lang w:val="en-US"/>
          </w:rPr>
          <w:t>mailkenk</w:t>
        </w:r>
        <w:proofErr w:type="spellEnd"/>
        <w:r w:rsidR="007172F2" w:rsidRPr="008D537F">
          <w:rPr>
            <w:rStyle w:val="ae"/>
            <w:rFonts w:asciiTheme="majorHAnsi" w:hAnsiTheme="majorHAnsi"/>
            <w:b/>
            <w:sz w:val="28"/>
            <w:szCs w:val="28"/>
          </w:rPr>
          <w:t>.</w:t>
        </w:r>
        <w:proofErr w:type="spellStart"/>
        <w:r w:rsidR="007172F2" w:rsidRPr="008D537F">
          <w:rPr>
            <w:rStyle w:val="ae"/>
            <w:rFonts w:asciiTheme="majorHAnsi" w:hAnsiTheme="majorHAnsi"/>
            <w:b/>
            <w:sz w:val="28"/>
            <w:szCs w:val="28"/>
            <w:lang w:val="en-US"/>
          </w:rPr>
          <w:t>ru</w:t>
        </w:r>
        <w:proofErr w:type="spellEnd"/>
      </w:hyperlink>
    </w:p>
    <w:p w:rsidR="008E7D21" w:rsidRPr="008E7D21" w:rsidRDefault="007A5EC5" w:rsidP="008D537F">
      <w:pPr>
        <w:pStyle w:val="a3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8E7D21">
        <w:rPr>
          <w:rFonts w:asciiTheme="majorHAnsi" w:hAnsiTheme="majorHAnsi"/>
          <w:color w:val="000000" w:themeColor="text1"/>
          <w:sz w:val="24"/>
          <w:szCs w:val="24"/>
        </w:rPr>
        <w:t>Адреса Центров обслуживания клиентов:</w:t>
      </w: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CD782F" w:rsidTr="00CD782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CD782F" w:rsidTr="00CD782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8-962-734-0367,   </w:t>
            </w:r>
            <w:hyperlink r:id="rId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-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D782F" w:rsidTr="00CD782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CD782F" w:rsidTr="00CD782F">
        <w:trPr>
          <w:trHeight w:val="20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CD782F" w:rsidTr="00CD782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CD782F" w:rsidTr="00CD782F">
        <w:trPr>
          <w:trHeight w:val="1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Ижморский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Садовая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Izhmorskij_COK@mailkenk.ru</w:t>
              </w:r>
            </w:hyperlink>
          </w:p>
        </w:tc>
      </w:tr>
      <w:tr w:rsidR="00CD782F" w:rsidTr="00CD782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CD782F" w:rsidTr="00CD782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CD782F" w:rsidTr="00CD782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CD782F" w:rsidTr="00CD782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CD782F" w:rsidTr="00CD782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Мыски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8-962-734-5326 </w:t>
            </w:r>
            <w:hyperlink r:id="rId1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Myski_COK@mailkenk.ru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CD782F" w:rsidTr="00CD782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CD782F" w:rsidTr="00CD782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CD782F" w:rsidTr="00CD782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Tisul_COK@mailkenk.ru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CD782F" w:rsidTr="00CD782F">
        <w:trPr>
          <w:trHeight w:val="23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2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CD782F" w:rsidTr="00CD782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пгт.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CD782F" w:rsidTr="00CD782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82F" w:rsidRDefault="00CD782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Kemerovo_COK@mailkenk.ru</w:t>
              </w:r>
            </w:hyperlink>
          </w:p>
        </w:tc>
      </w:tr>
    </w:tbl>
    <w:p w:rsidR="008D537F" w:rsidRPr="001A51C1" w:rsidRDefault="008D537F" w:rsidP="00CD782F">
      <w:pPr>
        <w:tabs>
          <w:tab w:val="left" w:pos="1365"/>
        </w:tabs>
      </w:pPr>
    </w:p>
    <w:sectPr w:rsidR="008D537F" w:rsidRPr="001A51C1" w:rsidSect="00CD782F">
      <w:pgSz w:w="16840" w:h="11907" w:orient="landscape" w:code="9"/>
      <w:pgMar w:top="0" w:right="567" w:bottom="0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60" w:rsidRDefault="00423260" w:rsidP="003D0C22">
      <w:pPr>
        <w:spacing w:after="0" w:line="240" w:lineRule="auto"/>
      </w:pPr>
      <w:r>
        <w:separator/>
      </w:r>
    </w:p>
  </w:endnote>
  <w:endnote w:type="continuationSeparator" w:id="0">
    <w:p w:rsidR="00423260" w:rsidRDefault="0042326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60" w:rsidRDefault="00423260" w:rsidP="003D0C22">
      <w:pPr>
        <w:spacing w:after="0" w:line="240" w:lineRule="auto"/>
      </w:pPr>
      <w:r>
        <w:separator/>
      </w:r>
    </w:p>
  </w:footnote>
  <w:footnote w:type="continuationSeparator" w:id="0">
    <w:p w:rsidR="00423260" w:rsidRDefault="00423260" w:rsidP="003D0C22">
      <w:pPr>
        <w:spacing w:after="0" w:line="240" w:lineRule="auto"/>
      </w:pPr>
      <w:r>
        <w:continuationSeparator/>
      </w:r>
    </w:p>
  </w:footnote>
  <w:footnote w:id="1">
    <w:p w:rsidR="005B28DB" w:rsidRDefault="005B28DB" w:rsidP="007E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Для получения идентификатора и пароля заявитель проходит процедуру регистрации на сайте </w:t>
      </w:r>
      <w:r w:rsidRPr="007A5EC5">
        <w:rPr>
          <w:rFonts w:eastAsiaTheme="minorHAnsi" w:cs="Calibri"/>
          <w:color w:val="0000FF"/>
          <w:sz w:val="24"/>
          <w:szCs w:val="24"/>
        </w:rPr>
        <w:t>http://www.ooo-kenk.ru</w:t>
      </w:r>
      <w:r>
        <w:rPr>
          <w:rFonts w:eastAsiaTheme="minorHAnsi" w:cs="Calibri"/>
          <w:sz w:val="20"/>
          <w:szCs w:val="20"/>
        </w:rPr>
        <w:t xml:space="preserve">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</w:t>
      </w:r>
    </w:p>
    <w:p w:rsidR="005B28DB" w:rsidRDefault="005B28DB" w:rsidP="007E719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1FBB"/>
    <w:multiLevelType w:val="hybridMultilevel"/>
    <w:tmpl w:val="F42CC6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1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 w15:restartNumberingAfterBreak="0">
    <w:nsid w:val="531228D6"/>
    <w:multiLevelType w:val="hybridMultilevel"/>
    <w:tmpl w:val="AF8E5B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03C2878"/>
    <w:multiLevelType w:val="hybridMultilevel"/>
    <w:tmpl w:val="3A009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8629EB"/>
    <w:multiLevelType w:val="hybridMultilevel"/>
    <w:tmpl w:val="3CB42A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16"/>
  </w:num>
  <w:num w:numId="8">
    <w:abstractNumId w:val="12"/>
  </w:num>
  <w:num w:numId="9">
    <w:abstractNumId w:val="7"/>
  </w:num>
  <w:num w:numId="10">
    <w:abstractNumId w:val="27"/>
  </w:num>
  <w:num w:numId="11">
    <w:abstractNumId w:val="28"/>
  </w:num>
  <w:num w:numId="12">
    <w:abstractNumId w:val="17"/>
  </w:num>
  <w:num w:numId="13">
    <w:abstractNumId w:val="26"/>
  </w:num>
  <w:num w:numId="14">
    <w:abstractNumId w:val="23"/>
  </w:num>
  <w:num w:numId="15">
    <w:abstractNumId w:val="2"/>
  </w:num>
  <w:num w:numId="16">
    <w:abstractNumId w:val="13"/>
  </w:num>
  <w:num w:numId="17">
    <w:abstractNumId w:val="29"/>
  </w:num>
  <w:num w:numId="18">
    <w:abstractNumId w:val="0"/>
  </w:num>
  <w:num w:numId="19">
    <w:abstractNumId w:val="30"/>
  </w:num>
  <w:num w:numId="20">
    <w:abstractNumId w:val="32"/>
  </w:num>
  <w:num w:numId="21">
    <w:abstractNumId w:val="5"/>
  </w:num>
  <w:num w:numId="22">
    <w:abstractNumId w:val="24"/>
  </w:num>
  <w:num w:numId="23">
    <w:abstractNumId w:val="31"/>
  </w:num>
  <w:num w:numId="24">
    <w:abstractNumId w:val="8"/>
  </w:num>
  <w:num w:numId="25">
    <w:abstractNumId w:val="4"/>
  </w:num>
  <w:num w:numId="26">
    <w:abstractNumId w:val="14"/>
  </w:num>
  <w:num w:numId="27">
    <w:abstractNumId w:val="1"/>
  </w:num>
  <w:num w:numId="28">
    <w:abstractNumId w:val="3"/>
  </w:num>
  <w:num w:numId="29">
    <w:abstractNumId w:val="22"/>
  </w:num>
  <w:num w:numId="30">
    <w:abstractNumId w:val="25"/>
  </w:num>
  <w:num w:numId="31">
    <w:abstractNumId w:val="21"/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4DB4"/>
    <w:rsid w:val="0003546F"/>
    <w:rsid w:val="000411ED"/>
    <w:rsid w:val="000436D8"/>
    <w:rsid w:val="00047666"/>
    <w:rsid w:val="000500ED"/>
    <w:rsid w:val="000525C0"/>
    <w:rsid w:val="00057E72"/>
    <w:rsid w:val="00061A24"/>
    <w:rsid w:val="00063E26"/>
    <w:rsid w:val="00074721"/>
    <w:rsid w:val="00074C8A"/>
    <w:rsid w:val="00081F69"/>
    <w:rsid w:val="00091AE5"/>
    <w:rsid w:val="0009482F"/>
    <w:rsid w:val="00096C18"/>
    <w:rsid w:val="000A2459"/>
    <w:rsid w:val="000A3392"/>
    <w:rsid w:val="000A59C7"/>
    <w:rsid w:val="000A5F2E"/>
    <w:rsid w:val="000A6322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E4EDF"/>
    <w:rsid w:val="000E58F3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5F61"/>
    <w:rsid w:val="001577DA"/>
    <w:rsid w:val="00161601"/>
    <w:rsid w:val="00162EA4"/>
    <w:rsid w:val="0016523F"/>
    <w:rsid w:val="00166447"/>
    <w:rsid w:val="00167AD3"/>
    <w:rsid w:val="001724B5"/>
    <w:rsid w:val="001744BE"/>
    <w:rsid w:val="00177D57"/>
    <w:rsid w:val="0018508A"/>
    <w:rsid w:val="001865B3"/>
    <w:rsid w:val="00187CF7"/>
    <w:rsid w:val="00195734"/>
    <w:rsid w:val="00196871"/>
    <w:rsid w:val="001A0AE7"/>
    <w:rsid w:val="001A51C1"/>
    <w:rsid w:val="001B18D9"/>
    <w:rsid w:val="001B2087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2A74"/>
    <w:rsid w:val="001E3ADC"/>
    <w:rsid w:val="001E6DA9"/>
    <w:rsid w:val="001F25C4"/>
    <w:rsid w:val="001F5893"/>
    <w:rsid w:val="002019F9"/>
    <w:rsid w:val="002067DD"/>
    <w:rsid w:val="00212506"/>
    <w:rsid w:val="0022102E"/>
    <w:rsid w:val="00222BCF"/>
    <w:rsid w:val="00224F28"/>
    <w:rsid w:val="00226055"/>
    <w:rsid w:val="00227278"/>
    <w:rsid w:val="00231302"/>
    <w:rsid w:val="00231AA9"/>
    <w:rsid w:val="00251D7D"/>
    <w:rsid w:val="00252265"/>
    <w:rsid w:val="00253466"/>
    <w:rsid w:val="00257539"/>
    <w:rsid w:val="0025767C"/>
    <w:rsid w:val="002617D7"/>
    <w:rsid w:val="00264249"/>
    <w:rsid w:val="002643C3"/>
    <w:rsid w:val="00276BD1"/>
    <w:rsid w:val="002916BD"/>
    <w:rsid w:val="002926FE"/>
    <w:rsid w:val="002927C3"/>
    <w:rsid w:val="002A11D0"/>
    <w:rsid w:val="002A27E8"/>
    <w:rsid w:val="002A52B9"/>
    <w:rsid w:val="002A56BF"/>
    <w:rsid w:val="002A69B0"/>
    <w:rsid w:val="002A74C8"/>
    <w:rsid w:val="002A77E8"/>
    <w:rsid w:val="002B0969"/>
    <w:rsid w:val="002B3ED8"/>
    <w:rsid w:val="002B4F62"/>
    <w:rsid w:val="002C250B"/>
    <w:rsid w:val="002C3617"/>
    <w:rsid w:val="002C38D5"/>
    <w:rsid w:val="002D295B"/>
    <w:rsid w:val="002D72B3"/>
    <w:rsid w:val="002E1487"/>
    <w:rsid w:val="002F3276"/>
    <w:rsid w:val="002F786F"/>
    <w:rsid w:val="002F78CF"/>
    <w:rsid w:val="002F7AFF"/>
    <w:rsid w:val="00305F54"/>
    <w:rsid w:val="00305FEA"/>
    <w:rsid w:val="003126BD"/>
    <w:rsid w:val="00312AA1"/>
    <w:rsid w:val="00317C7C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260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0717"/>
    <w:rsid w:val="00462554"/>
    <w:rsid w:val="00463624"/>
    <w:rsid w:val="00464D06"/>
    <w:rsid w:val="00475A8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0A8E"/>
    <w:rsid w:val="004D7666"/>
    <w:rsid w:val="004E1681"/>
    <w:rsid w:val="004E2BF1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A16"/>
    <w:rsid w:val="005825EB"/>
    <w:rsid w:val="00582A38"/>
    <w:rsid w:val="005833AE"/>
    <w:rsid w:val="00587C05"/>
    <w:rsid w:val="0059568A"/>
    <w:rsid w:val="005969B5"/>
    <w:rsid w:val="005A72D9"/>
    <w:rsid w:val="005B19D2"/>
    <w:rsid w:val="005B28DB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E5B7A"/>
    <w:rsid w:val="005F32C2"/>
    <w:rsid w:val="005F7392"/>
    <w:rsid w:val="0060051D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566BE"/>
    <w:rsid w:val="006568DC"/>
    <w:rsid w:val="0067236B"/>
    <w:rsid w:val="00674805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599B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2652"/>
    <w:rsid w:val="00715063"/>
    <w:rsid w:val="00716E46"/>
    <w:rsid w:val="007172F2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0AFF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73961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993"/>
    <w:rsid w:val="008C2051"/>
    <w:rsid w:val="008C4CAC"/>
    <w:rsid w:val="008C4ED4"/>
    <w:rsid w:val="008C54BB"/>
    <w:rsid w:val="008D478A"/>
    <w:rsid w:val="008D537F"/>
    <w:rsid w:val="008D6763"/>
    <w:rsid w:val="008E0862"/>
    <w:rsid w:val="008E236C"/>
    <w:rsid w:val="008E2B7A"/>
    <w:rsid w:val="008E47EE"/>
    <w:rsid w:val="008E5BAE"/>
    <w:rsid w:val="008E69B1"/>
    <w:rsid w:val="008E7D21"/>
    <w:rsid w:val="008F12FF"/>
    <w:rsid w:val="008F3306"/>
    <w:rsid w:val="008F5604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6B15"/>
    <w:rsid w:val="00957CD1"/>
    <w:rsid w:val="009625F0"/>
    <w:rsid w:val="009724E7"/>
    <w:rsid w:val="0097312B"/>
    <w:rsid w:val="00975222"/>
    <w:rsid w:val="00987CBF"/>
    <w:rsid w:val="00996607"/>
    <w:rsid w:val="009A3BA9"/>
    <w:rsid w:val="009A657E"/>
    <w:rsid w:val="009A72DF"/>
    <w:rsid w:val="009A7EF0"/>
    <w:rsid w:val="009B542F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18CA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72C0"/>
    <w:rsid w:val="00A4102C"/>
    <w:rsid w:val="00A42F78"/>
    <w:rsid w:val="00A44C90"/>
    <w:rsid w:val="00A45CB1"/>
    <w:rsid w:val="00A53946"/>
    <w:rsid w:val="00A552E4"/>
    <w:rsid w:val="00A61FB2"/>
    <w:rsid w:val="00A6331E"/>
    <w:rsid w:val="00A64490"/>
    <w:rsid w:val="00A650EB"/>
    <w:rsid w:val="00A718D8"/>
    <w:rsid w:val="00A82FEF"/>
    <w:rsid w:val="00A83C3D"/>
    <w:rsid w:val="00A93768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4C5D"/>
    <w:rsid w:val="00AD0118"/>
    <w:rsid w:val="00AE2AFA"/>
    <w:rsid w:val="00AE4BFA"/>
    <w:rsid w:val="00AE6609"/>
    <w:rsid w:val="00AF044C"/>
    <w:rsid w:val="00AF6631"/>
    <w:rsid w:val="00AF697C"/>
    <w:rsid w:val="00AF6D07"/>
    <w:rsid w:val="00AF6F7B"/>
    <w:rsid w:val="00B00D1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37B25"/>
    <w:rsid w:val="00B4193A"/>
    <w:rsid w:val="00B41B0A"/>
    <w:rsid w:val="00B425FD"/>
    <w:rsid w:val="00B60B0F"/>
    <w:rsid w:val="00B62428"/>
    <w:rsid w:val="00B67DDF"/>
    <w:rsid w:val="00B7707D"/>
    <w:rsid w:val="00B81B7D"/>
    <w:rsid w:val="00B863D5"/>
    <w:rsid w:val="00B9225B"/>
    <w:rsid w:val="00B92AE4"/>
    <w:rsid w:val="00B94966"/>
    <w:rsid w:val="00B96E95"/>
    <w:rsid w:val="00BB04E6"/>
    <w:rsid w:val="00BB0FF0"/>
    <w:rsid w:val="00BB4244"/>
    <w:rsid w:val="00BB69C3"/>
    <w:rsid w:val="00BC34E6"/>
    <w:rsid w:val="00BC742B"/>
    <w:rsid w:val="00BD1103"/>
    <w:rsid w:val="00BD3F8D"/>
    <w:rsid w:val="00BE23AA"/>
    <w:rsid w:val="00BE3563"/>
    <w:rsid w:val="00BE71F0"/>
    <w:rsid w:val="00BF5BB4"/>
    <w:rsid w:val="00BF67FC"/>
    <w:rsid w:val="00C020C0"/>
    <w:rsid w:val="00C0222A"/>
    <w:rsid w:val="00C02426"/>
    <w:rsid w:val="00C02E01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192C"/>
    <w:rsid w:val="00C44A03"/>
    <w:rsid w:val="00C502AF"/>
    <w:rsid w:val="00C63C5C"/>
    <w:rsid w:val="00C70F7D"/>
    <w:rsid w:val="00C723FE"/>
    <w:rsid w:val="00C724B1"/>
    <w:rsid w:val="00C775C6"/>
    <w:rsid w:val="00C80745"/>
    <w:rsid w:val="00C81358"/>
    <w:rsid w:val="00C900C1"/>
    <w:rsid w:val="00C95218"/>
    <w:rsid w:val="00C95BB1"/>
    <w:rsid w:val="00C95DBA"/>
    <w:rsid w:val="00C96D72"/>
    <w:rsid w:val="00C977F4"/>
    <w:rsid w:val="00CA5630"/>
    <w:rsid w:val="00CA65E9"/>
    <w:rsid w:val="00CA7001"/>
    <w:rsid w:val="00CB306C"/>
    <w:rsid w:val="00CB50B3"/>
    <w:rsid w:val="00CB663D"/>
    <w:rsid w:val="00CB6784"/>
    <w:rsid w:val="00CB7954"/>
    <w:rsid w:val="00CB7FD0"/>
    <w:rsid w:val="00CC036D"/>
    <w:rsid w:val="00CC33F8"/>
    <w:rsid w:val="00CC556A"/>
    <w:rsid w:val="00CC5A31"/>
    <w:rsid w:val="00CD4541"/>
    <w:rsid w:val="00CD5344"/>
    <w:rsid w:val="00CD782F"/>
    <w:rsid w:val="00CE067D"/>
    <w:rsid w:val="00CE1B32"/>
    <w:rsid w:val="00CE2DE1"/>
    <w:rsid w:val="00CE6D14"/>
    <w:rsid w:val="00D00C28"/>
    <w:rsid w:val="00D011EB"/>
    <w:rsid w:val="00D05A39"/>
    <w:rsid w:val="00D220F3"/>
    <w:rsid w:val="00D24362"/>
    <w:rsid w:val="00D26DDF"/>
    <w:rsid w:val="00D30757"/>
    <w:rsid w:val="00D317AE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90F"/>
    <w:rsid w:val="00D75509"/>
    <w:rsid w:val="00D76BBE"/>
    <w:rsid w:val="00D809CF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237D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C43"/>
    <w:rsid w:val="00E37E4A"/>
    <w:rsid w:val="00E426F9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902C5"/>
    <w:rsid w:val="00E92EED"/>
    <w:rsid w:val="00EA256D"/>
    <w:rsid w:val="00EB1C13"/>
    <w:rsid w:val="00EB298E"/>
    <w:rsid w:val="00EB2F19"/>
    <w:rsid w:val="00EC465D"/>
    <w:rsid w:val="00EC715E"/>
    <w:rsid w:val="00EC768F"/>
    <w:rsid w:val="00ED2669"/>
    <w:rsid w:val="00ED43AB"/>
    <w:rsid w:val="00EF2481"/>
    <w:rsid w:val="00EF2624"/>
    <w:rsid w:val="00EF3367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97A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5275"/>
    <w:rsid w:val="00F87F54"/>
    <w:rsid w:val="00F90A13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4F05"/>
    <w:rsid w:val="00FD3D1E"/>
    <w:rsid w:val="00FD4743"/>
    <w:rsid w:val="00FD664C"/>
    <w:rsid w:val="00FD6DE2"/>
    <w:rsid w:val="00FE08F8"/>
    <w:rsid w:val="00FE1779"/>
    <w:rsid w:val="00FE3236"/>
    <w:rsid w:val="00FE3FDE"/>
    <w:rsid w:val="00FE4164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C2CAB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zhmorskij_COK@mailkenk.ru" TargetMode="External"/><Relationship Id="rId18" Type="http://schemas.openxmlformats.org/officeDocument/2006/relationships/hyperlink" Target="mailto:Myski_COK@mailkenk.ru" TargetMode="External"/><Relationship Id="rId26" Type="http://schemas.openxmlformats.org/officeDocument/2006/relationships/hyperlink" Target="mailto:Tisul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ysaevo_COK@mailkenk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uryevsk_COK@mailkenk.ru" TargetMode="External"/><Relationship Id="rId17" Type="http://schemas.openxmlformats.org/officeDocument/2006/relationships/hyperlink" Target="mailto:Mariinsk_COK@mailkenk.ru" TargetMode="External"/><Relationship Id="rId25" Type="http://schemas.openxmlformats.org/officeDocument/2006/relationships/hyperlink" Target="mailto:Tashtagol_COK@mailkenk.ru" TargetMode="External"/><Relationship Id="rId33" Type="http://schemas.openxmlformats.org/officeDocument/2006/relationships/hyperlink" Target="mailto:Kemerovo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pivinskij_COK@mailkenk.ru" TargetMode="External"/><Relationship Id="rId20" Type="http://schemas.openxmlformats.org/officeDocument/2006/relationships/hyperlink" Target="mailto:Osinniki_COK@mailkenk.ru" TargetMode="External"/><Relationship Id="rId29" Type="http://schemas.openxmlformats.org/officeDocument/2006/relationships/hyperlink" Target="mailto:VerhChebula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ogorsk_COK@mailkenk.ru" TargetMode="External"/><Relationship Id="rId24" Type="http://schemas.openxmlformats.org/officeDocument/2006/relationships/hyperlink" Target="mailto:Tajga_COK@mailkenk.ru" TargetMode="External"/><Relationship Id="rId32" Type="http://schemas.openxmlformats.org/officeDocument/2006/relationships/hyperlink" Target="mailto:Jaja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selevsk_COK@mailkenk.ru" TargetMode="External"/><Relationship Id="rId23" Type="http://schemas.openxmlformats.org/officeDocument/2006/relationships/hyperlink" Target="mailto:Promishlennaja_COK@mailkenk.ru" TargetMode="External"/><Relationship Id="rId28" Type="http://schemas.openxmlformats.org/officeDocument/2006/relationships/hyperlink" Target="mailto:Tjazhinskij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Novokuzneck_COK@mailkenk.ru" TargetMode="External"/><Relationship Id="rId31" Type="http://schemas.openxmlformats.org/officeDocument/2006/relationships/hyperlink" Target="mailto:Jashkin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Kaltan_COK@mailkenk.ru" TargetMode="External"/><Relationship Id="rId22" Type="http://schemas.openxmlformats.org/officeDocument/2006/relationships/hyperlink" Target="mailto:Prokopyevsk_COK@mailkenk.ru" TargetMode="External"/><Relationship Id="rId27" Type="http://schemas.openxmlformats.org/officeDocument/2006/relationships/hyperlink" Target="mailto:Topki_COK@mailkenk.ru" TargetMode="External"/><Relationship Id="rId30" Type="http://schemas.openxmlformats.org/officeDocument/2006/relationships/hyperlink" Target="mailto:Jurga_COK@mailkenk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emerovo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8C51-5726-43DF-A342-F01B47CC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10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Дикаева Ульяна Александровна</cp:lastModifiedBy>
  <cp:revision>50</cp:revision>
  <cp:lastPrinted>2018-09-18T10:07:00Z</cp:lastPrinted>
  <dcterms:created xsi:type="dcterms:W3CDTF">2014-08-29T06:01:00Z</dcterms:created>
  <dcterms:modified xsi:type="dcterms:W3CDTF">2019-04-09T04:11:00Z</dcterms:modified>
</cp:coreProperties>
</file>